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ПРОДВИЖЕНИЕ АУДИОВИЗУАЛЬНОЙ ПРОДУКЦИИ 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pStyle w:val="33"/>
        <w:widowControl w:val="0"/>
        <w:jc w:val="both"/>
        <w:rPr>
          <w:b/>
          <w:sz w:val="28"/>
          <w:szCs w:val="28"/>
        </w:rPr>
      </w:pPr>
      <w:bookmarkStart w:id="0" w:name="_Toc530492980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3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ПК-7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4"/>
        <w:gridCol w:w="6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7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91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57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ПК-7 </w:t>
            </w:r>
            <w:r>
              <w:rPr>
                <w:sz w:val="28"/>
                <w:szCs w:val="28"/>
              </w:rPr>
              <w:t>Способен демонстрировать знания и опыт в широком спектре диапазоне творческой, практической деятельности, позиционировать себя на рынке творческого труда</w:t>
            </w:r>
          </w:p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919" w:type="dxa"/>
            <w:shd w:val="clear" w:color="auto" w:fill="auto"/>
          </w:tcPr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особенности ведения переговоров; технология презентации – «сценарного питчинга» проекта; особенности рынка творческого труда в различных видах искусства; понимать, закреплять и развивать межличностные отношения в профессиональной среде;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презентовать проект, продемонстрировать авторский стиль, соответствовать современным тенденциям развития драматургии;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механизмами привлечения внимания к произведению драматургии на стадии питчинга проектов: рефренсы, дрим-каст, тег, логлайг, месседж, хай-концепт, лоу-концепт и т.п.; способностью заинтересовать сотрудничеством потенциального работодателя, - производителя кинопродукции;</w:t>
            </w:r>
          </w:p>
        </w:tc>
      </w:tr>
    </w:tbl>
    <w:p>
      <w:pPr>
        <w:ind w:firstLine="709"/>
        <w:jc w:val="both"/>
        <w:rPr>
          <w:i/>
          <w:color w:val="FF0000"/>
          <w:sz w:val="28"/>
          <w:szCs w:val="28"/>
          <w:lang w:eastAsia="zh-CN"/>
        </w:rPr>
      </w:pPr>
    </w:p>
    <w:p>
      <w:pPr>
        <w:ind w:firstLine="709"/>
        <w:jc w:val="both"/>
        <w:rPr>
          <w:i/>
          <w:color w:val="FF0000"/>
          <w:sz w:val="28"/>
          <w:szCs w:val="28"/>
          <w:lang w:eastAsia="zh-CN"/>
        </w:rPr>
      </w:pPr>
    </w:p>
    <w:bookmarkEnd w:id="0"/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«Продвижение аудиовизуальной продукции»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007"/>
        <w:gridCol w:w="1901"/>
        <w:gridCol w:w="1198"/>
        <w:gridCol w:w="4897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продвижения российского рынка аудиовизуальной сферы. Производитель – прокатчик – демонстратор. Организационные и экономические связи. Основные функции и цели продвижения аудиовизуального продукта к зрителю.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Реферат. Задачи реконструктивного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Варианты соглашений продюсера и дистрибьютера. Создание независимой сети кинопоказа. Экономика проката. Продвижения аудиовизуального продукта на ТВ. Структура телевизионного вещания.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работа.  Кейс-задача. Индивидуальные и групповые творческие задания (проекты). Задачи реконструктивного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Дистрибьюция продукта на вторичном рынке – рынке телевидения. Роль рекламы в продвижении аудиовизуального продукта. Этапы проведения рекламной кампании. Источники финансирования и оценка результативности.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Индивидуал. творческие задания (проекты). Задачи репродуктивного уровня. Реферат.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 – технологии в продвижении аудиовизуального продукта. Классификация персонального бренда экранных исполнителей. Роль фестивальной деятельности. Этапы управления кинофестивальной сессии.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ПК-7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Индивид. творческие задания (проекты). Задачи творческого уровня. Реферат.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«Продвижение аудиовизуальной продукции»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Средство контроля усвоения учебного материала темы, раздела или разделов дисциплины, организованное в виде самостоятельной работы обучающегося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Типовые практические задания</w:t>
            </w:r>
          </w:p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для самостоятельной работы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2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</w:rPr>
        <w:t xml:space="preserve">» </w:t>
      </w: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Тема (проблема) </w:t>
      </w:r>
      <w:r>
        <w:rPr>
          <w:sz w:val="28"/>
          <w:szCs w:val="28"/>
        </w:rPr>
        <w:t>Современный кинопроцесс. Умение продюсера привлекать спонсоров, инвесторов и партнеров для своего проекта.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Название «Поединок со спонсором». </w:t>
      </w:r>
    </w:p>
    <w:p>
      <w:pPr>
        <w:pStyle w:val="46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Концепция игры </w:t>
      </w:r>
    </w:p>
    <w:p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Поединок проводится двумя слушателями за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столом перед аудиторией.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течение 5-ти минут спонсируемому необходимо сделать презентацию своего проекта, перечислить те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выгоды, которые получит спонсор, продать спонсору «спонсорский пакет», увлечь спонсора своим проектом.</w:t>
      </w:r>
    </w:p>
    <w:p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Спонсору необходимо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течении этого времени понять насколько представленный проект будет интересен его организации для продвижения товаров и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услуг спонсора на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потребительскую аудиторию представленного проекта, уточнить маркетинговые, рекламные и</w:t>
      </w:r>
      <w:r>
        <w:rPr>
          <w:color w:val="000000"/>
          <w:sz w:val="28"/>
          <w:szCs w:val="28"/>
          <w:lang w:val="en-US" w:eastAsia="en-US"/>
        </w:rPr>
        <w:t> PR </w:t>
      </w:r>
      <w:r>
        <w:rPr>
          <w:color w:val="000000"/>
          <w:sz w:val="28"/>
          <w:szCs w:val="28"/>
          <w:lang w:eastAsia="en-US"/>
        </w:rPr>
        <w:t>возможности представленного проекта.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случае отсутствия последних, деликатно освободиться от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посетителя.</w:t>
      </w:r>
    </w:p>
    <w:p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3</w:t>
      </w:r>
      <w:r>
        <w:rPr>
          <w:color w:val="000000"/>
          <w:sz w:val="28"/>
          <w:szCs w:val="28"/>
          <w:lang w:eastAsia="en-US"/>
        </w:rPr>
        <w:t>. Затем участники меняются ролями. Потом их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места занимает другая пара, и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так пока все не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пройдут через поединок. Аудитория делится на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три группы и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принимает участие в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поединке через голосование за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того или иного участника поединка с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последующим комментарием.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  <w:lang w:eastAsia="en-US"/>
        </w:rPr>
        <w:t>В результате голосования аудитории каждый участник получает определенное количество баллов, определяется рейтинг участников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лидер группы.</w:t>
      </w:r>
    </w:p>
    <w:p>
      <w:pPr>
        <w:pStyle w:val="4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Роли: 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Директор/владелец банка</w:t>
      </w:r>
      <w:r>
        <w:rPr>
          <w:color w:val="000000"/>
          <w:sz w:val="28"/>
          <w:szCs w:val="28"/>
          <w:lang w:eastAsia="en-US"/>
        </w:rPr>
        <w:t>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Директор фабрики;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Руководитель инвестиционного фонда;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Начальник департамента культуры;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Директор торговой сети;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kern w:val="1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>Директор/владелец отеля или ресторана;</w:t>
      </w:r>
    </w:p>
    <w:p>
      <w:pPr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kern w:val="1"/>
          <w:sz w:val="28"/>
          <w:szCs w:val="28"/>
          <w:lang w:val="en-US" w:eastAsia="en-US"/>
        </w:rPr>
        <w:t xml:space="preserve">- </w:t>
      </w:r>
      <w:r>
        <w:rPr>
          <w:color w:val="000000"/>
          <w:sz w:val="28"/>
          <w:szCs w:val="28"/>
          <w:lang w:val="en-US" w:eastAsia="en-US"/>
        </w:rPr>
        <w:t>Главный редактор газеты/журнала;</w:t>
      </w:r>
    </w:p>
    <w:p>
      <w:pPr>
        <w:pStyle w:val="46"/>
        <w:tabs>
          <w:tab w:val="left" w:pos="142"/>
        </w:tabs>
        <w:jc w:val="both"/>
        <w:rPr>
          <w:sz w:val="28"/>
          <w:szCs w:val="28"/>
        </w:rPr>
      </w:pPr>
      <w:r>
        <w:rPr>
          <w:kern w:val="1"/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Главный редактор радиостанции или телеканала.</w:t>
      </w:r>
    </w:p>
    <w:p>
      <w:pPr>
        <w:pStyle w:val="46"/>
        <w:rPr>
          <w:sz w:val="28"/>
          <w:szCs w:val="28"/>
        </w:rPr>
      </w:pPr>
    </w:p>
    <w:p>
      <w:pPr>
        <w:pStyle w:val="46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>
        <w:rPr>
          <w:b/>
          <w:sz w:val="28"/>
          <w:szCs w:val="28"/>
        </w:rPr>
        <w:t>Ожидаемый (е) результат (ы):</w:t>
      </w:r>
      <w:r>
        <w:rPr>
          <w:sz w:val="28"/>
          <w:szCs w:val="28"/>
          <w:lang w:eastAsia="en-US"/>
        </w:rPr>
        <w:t xml:space="preserve"> сделать презентацию проекта таким образом, чтобы привлечь вышеперечисленных руководителей в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качестве различных типов инвестора: от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члена попечительского совета проекта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партнер проекта, до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спонсора проекта и</w:t>
      </w:r>
      <w:r>
        <w:rPr>
          <w:sz w:val="28"/>
          <w:szCs w:val="28"/>
          <w:lang w:val="en-US" w:eastAsia="en-US"/>
        </w:rPr>
        <w:t> </w:t>
      </w:r>
      <w:r>
        <w:rPr>
          <w:sz w:val="28"/>
          <w:szCs w:val="28"/>
          <w:lang w:eastAsia="en-US"/>
        </w:rPr>
        <w:t>информационного спонсора проекта.</w:t>
      </w:r>
    </w:p>
    <w:p>
      <w:pPr>
        <w:pStyle w:val="46"/>
        <w:rPr>
          <w:sz w:val="28"/>
          <w:szCs w:val="28"/>
        </w:rPr>
      </w:pPr>
    </w:p>
    <w:p>
      <w:pPr>
        <w:pStyle w:val="4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</w:t>
      </w:r>
      <w:r>
        <w:rPr>
          <w:b/>
          <w:bCs/>
          <w:sz w:val="28"/>
          <w:szCs w:val="28"/>
        </w:rPr>
        <w:t>деловой (ролевой) игры:</w:t>
      </w:r>
    </w:p>
    <w:p>
      <w:pPr>
        <w:pStyle w:val="46"/>
        <w:rPr>
          <w:b/>
          <w:sz w:val="28"/>
          <w:szCs w:val="28"/>
        </w:rPr>
      </w:pPr>
    </w:p>
    <w:p>
      <w:pPr>
        <w:pStyle w:val="46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привлек наибольшее количество спонсоров и партнеров, а также набрал наибольший балл аудитории; </w:t>
      </w:r>
    </w:p>
    <w:p>
      <w:pPr>
        <w:pStyle w:val="46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«хорошо»</w:t>
      </w:r>
      <w:r>
        <w:rPr>
          <w:sz w:val="28"/>
          <w:szCs w:val="28"/>
        </w:rPr>
        <w:t xml:space="preserve"> выставляется студенту, если он привлек спонсора или партнера, но не получил достаточно баллов от аудитории; </w:t>
      </w:r>
    </w:p>
    <w:p>
      <w:pPr>
        <w:pStyle w:val="46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«удовлетворительно»</w:t>
      </w:r>
      <w:r>
        <w:rPr>
          <w:sz w:val="28"/>
          <w:szCs w:val="28"/>
        </w:rPr>
        <w:t xml:space="preserve"> выставляется студенту, если он не привлек спонсора или партнера, но получил баллы от аудитории; </w:t>
      </w:r>
    </w:p>
    <w:p>
      <w:pPr>
        <w:pStyle w:val="4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«неудовлетворительно»</w:t>
      </w:r>
      <w:r>
        <w:rPr>
          <w:sz w:val="28"/>
          <w:szCs w:val="28"/>
        </w:rPr>
        <w:t xml:space="preserve"> выставляется студенту, которые не привлек спонсора или партнера, и не получил баллы от аудитории.</w:t>
      </w:r>
    </w:p>
    <w:p>
      <w:pPr>
        <w:pStyle w:val="46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он  полностью или частично  выполнил  задание ролевой игры; </w:t>
      </w:r>
    </w:p>
    <w:p>
      <w:pPr>
        <w:pStyle w:val="46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задание ролевой игры.  </w:t>
      </w:r>
    </w:p>
    <w:p>
      <w:pPr>
        <w:pStyle w:val="46"/>
        <w:rPr>
          <w:b/>
          <w:bCs/>
          <w:sz w:val="28"/>
          <w:szCs w:val="28"/>
        </w:rPr>
      </w:pPr>
    </w:p>
    <w:p>
      <w:pPr>
        <w:pStyle w:val="4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Письменные продюсерские заключения по просмотренным короткометражных фильмов и прочитанным сценариям, - поиск продюсерских решений по продвижению аудиовизуальной продукции.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</w:t>
      </w:r>
      <w:r>
        <w:rPr>
          <w:sz w:val="28"/>
          <w:szCs w:val="28"/>
        </w:rPr>
        <w:t xml:space="preserve"> Письменные продюсерские заключения по просмотренным полнометражных фильмов и прочитанным сценариям, - поиск продюсерских решений по продвижению аудиовизуальной продукции.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</w:t>
      </w:r>
      <w:r>
        <w:rPr>
          <w:sz w:val="28"/>
          <w:szCs w:val="28"/>
        </w:rPr>
        <w:t xml:space="preserve">  Письменные продюсерские заключения по просмотренным многосерийных фильмов и прочитанным сценариям, - поиск продюсерских решений по продвижению аудиовизуальной продукции.  </w:t>
      </w:r>
    </w:p>
    <w:p>
      <w:pPr>
        <w:spacing w:line="360" w:lineRule="auto"/>
        <w:jc w:val="both"/>
        <w:rPr>
          <w:sz w:val="28"/>
          <w:szCs w:val="28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 xml:space="preserve">Письменные продюсерские заключения по просмотренным телевизионным передачам, - поиск продюсерских решений по продвижению аудиовизуальной продукции. </w:t>
      </w:r>
      <w:r>
        <w:rPr>
          <w:b/>
          <w:bCs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продюсерских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продюсерских составляющих  необходимых   для  выполнения задания.</w:t>
      </w: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 xml:space="preserve">Примерные вопросы для практической работы </w:t>
      </w:r>
      <w:r>
        <w:rPr>
          <w:b/>
          <w:sz w:val="28"/>
          <w:szCs w:val="28"/>
          <w:lang w:eastAsia="mr-IN" w:bidi="mr-IN"/>
        </w:rPr>
        <w:t>по дисциплине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 xml:space="preserve"> 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Деятельность продюсера в продвижении фильма.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Условия дистрибьюторского процента. Тираж, количество копий, время показа.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Комбинирование производства. Аренда, лизинг и франчайзинг.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НАК (Национальная ассоциация кинотеатров). Крупнейшие операторы киносетей России.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Характеристика современного телерынка.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Программно-целевой принцип проката и показа аудиовизуального продукта на ТВ, целевой поддержки и другие формы поддержки киноискусства. 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Структура телевизионного вещания. Технический канал, центральный канал, региональный канал, кабельное ТВ, спутниковое вещание и др.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развития вторичного аудиовизуального рынка.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>
      <w:pPr>
        <w:numPr>
          <w:ilvl w:val="0"/>
          <w:numId w:val="3"/>
        </w:numPr>
        <w:shd w:val="clear" w:color="auto" w:fill="FFFFFF"/>
        <w:spacing w:line="360" w:lineRule="auto"/>
        <w:ind w:left="-142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Классификатор средств рекламной информации.</w:t>
      </w:r>
    </w:p>
    <w:p>
      <w:pPr>
        <w:shd w:val="clear" w:color="auto" w:fill="FFFFFF"/>
        <w:spacing w:line="360" w:lineRule="auto"/>
        <w:ind w:right="5"/>
        <w:jc w:val="both"/>
        <w:rPr>
          <w:color w:val="000000"/>
          <w:sz w:val="28"/>
          <w:szCs w:val="28"/>
        </w:rPr>
      </w:pPr>
    </w:p>
    <w:p>
      <w:pPr>
        <w:ind w:left="6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практической работы</w:t>
      </w:r>
    </w:p>
    <w:p>
      <w:pPr>
        <w:rPr>
          <w:b/>
          <w:sz w:val="28"/>
          <w:szCs w:val="28"/>
        </w:rPr>
      </w:pP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Оценку «зачтено» студент получает при выполнении следующих условий: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дан полный аргументированный ответ на поставленный вопрос в рамках рубежного контроля,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во время семестра студент выступил с рефератом (сообщением) по темам курса,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принимал активное участие в дискуссиях и обсуждениях на семинарских занятиях,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продемонстрировал навык работы с рекомендуемой и дополнительной литературой, отработал алгоритм поиска требуемой информации по разным каналам, включая интернет,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проявил умение аргументировать свою точку зрения и делать выводы из проанализированного материала.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студент получает при выполнении следующих условий: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знает в общих чертах ответ на поставленный вопрос рубежного контроля,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один-два раза принимал участие в обсуждениях на семинарских занятиях.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Оценку «не зачтено» студент получает, если: </w:t>
      </w:r>
    </w:p>
    <w:p>
      <w:pPr>
        <w:spacing w:after="100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- начал изучать рекомендуемую литературу и знакомиться с рекомендуемыми для просмотра телевизионными произведениями. </w:t>
      </w:r>
    </w:p>
    <w:p>
      <w:pPr>
        <w:ind w:left="-284"/>
        <w:rPr>
          <w:sz w:val="28"/>
          <w:szCs w:val="28"/>
        </w:rPr>
      </w:pPr>
      <w:r>
        <w:rPr>
          <w:sz w:val="28"/>
          <w:szCs w:val="28"/>
        </w:rPr>
        <w:t>- студент получает за неудовлетворительный ответ на вопрос.</w:t>
      </w: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рефератов, семинаров 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numPr>
          <w:ilvl w:val="0"/>
          <w:numId w:val="4"/>
        </w:numPr>
        <w:shd w:val="clear" w:color="auto" w:fill="FFFFFF"/>
        <w:spacing w:line="360" w:lineRule="auto"/>
        <w:ind w:left="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Рекламная акция на федеральных каналах телевидения. Рекламная акция на радио. Реклама в имиджевой прессе.</w:t>
      </w:r>
    </w:p>
    <w:p>
      <w:pPr>
        <w:numPr>
          <w:ilvl w:val="0"/>
          <w:numId w:val="4"/>
        </w:numPr>
        <w:shd w:val="clear" w:color="auto" w:fill="FFFFFF"/>
        <w:spacing w:line="360" w:lineRule="auto"/>
        <w:ind w:left="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Ценовая политика, роль Интернет – технологии в продвижении аудиовизуального продукта.</w:t>
      </w:r>
    </w:p>
    <w:p>
      <w:pPr>
        <w:numPr>
          <w:ilvl w:val="0"/>
          <w:numId w:val="4"/>
        </w:numPr>
        <w:shd w:val="clear" w:color="auto" w:fill="FFFFFF"/>
        <w:spacing w:line="360" w:lineRule="auto"/>
        <w:ind w:left="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артистических брендов (универсальный, коммерческий, социально-информационный, жанрово-позитивный, жанрово-негативный).</w:t>
      </w:r>
    </w:p>
    <w:p>
      <w:pPr>
        <w:numPr>
          <w:ilvl w:val="0"/>
          <w:numId w:val="4"/>
        </w:numPr>
        <w:shd w:val="clear" w:color="auto" w:fill="FFFFFF"/>
        <w:spacing w:line="360" w:lineRule="auto"/>
        <w:ind w:left="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Фестиваль как средство продвижения. Классификация по масштабу проведения. Жанровые особенности. Фестиваль как индустрия. Циклы управления фестивалем.</w:t>
      </w:r>
    </w:p>
    <w:p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рефератов, семинаров </w:t>
      </w:r>
    </w:p>
    <w:p>
      <w:pPr>
        <w:ind w:right="-143"/>
        <w:rPr>
          <w:b/>
          <w:sz w:val="28"/>
          <w:szCs w:val="28"/>
        </w:rPr>
      </w:pP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Полнота раскрытия студентом основных понятий, связанных с предметом рассмотрения;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Умение студента систематизировать и структурировать информацию из источников;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Уровень сложности представленных в эссе обобщений и выводов;  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Сопоставление имеющихся различных точек зрения на предмет рассмотрения с собственным индивидуальным мнением; 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Соотнесение собственного высказывания о предмете с базовыми теоретическими положениями избранной для эссе темы;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Субъективная позиция автора эссе не должна выходить за рамки фактографической точности;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Наличие аргументаций и выводов, соответствующих  предмету рассмотрения и их убедительность; </w:t>
      </w:r>
    </w:p>
    <w:p>
      <w:pPr>
        <w:numPr>
          <w:ilvl w:val="0"/>
          <w:numId w:val="5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Внутреннее смысловое единство и композиционно свободный стиль изложения.</w:t>
      </w:r>
    </w:p>
    <w:p>
      <w:pPr>
        <w:ind w:left="360" w:right="-143"/>
        <w:rPr>
          <w:sz w:val="28"/>
          <w:szCs w:val="28"/>
        </w:rPr>
      </w:pPr>
    </w:p>
    <w:p>
      <w:pPr>
        <w:ind w:right="-14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Кроме того, оценивается общая культура письменной речи студента, а именно:</w:t>
      </w:r>
    </w:p>
    <w:p>
      <w:pPr>
        <w:ind w:right="-143"/>
        <w:rPr>
          <w:sz w:val="28"/>
          <w:szCs w:val="28"/>
          <w:u w:val="single"/>
        </w:rPr>
      </w:pPr>
    </w:p>
    <w:p>
      <w:pPr>
        <w:numPr>
          <w:ilvl w:val="0"/>
          <w:numId w:val="6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Отсутствие орфографических и синтаксических ошибок; </w:t>
      </w:r>
    </w:p>
    <w:p>
      <w:pPr>
        <w:numPr>
          <w:ilvl w:val="0"/>
          <w:numId w:val="6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Лексически разнообразный и стилистически грамотный русский литературный язык;</w:t>
      </w:r>
    </w:p>
    <w:p>
      <w:pPr>
        <w:numPr>
          <w:ilvl w:val="0"/>
          <w:numId w:val="6"/>
        </w:numPr>
        <w:spacing w:after="160" w:line="256" w:lineRule="auto"/>
        <w:ind w:right="-143"/>
        <w:rPr>
          <w:sz w:val="28"/>
          <w:szCs w:val="28"/>
        </w:rPr>
      </w:pPr>
      <w:r>
        <w:rPr>
          <w:sz w:val="28"/>
          <w:szCs w:val="28"/>
        </w:rPr>
        <w:t>Отсутствие опечаток, сокращений слов (кроме общепринятых).</w:t>
      </w:r>
    </w:p>
    <w:p>
      <w:pPr>
        <w:rPr>
          <w:sz w:val="28"/>
          <w:szCs w:val="28"/>
        </w:rPr>
      </w:pPr>
    </w:p>
    <w:p>
      <w:pPr>
        <w:pStyle w:val="46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Типовые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</w:rPr>
        <w:t>»</w:t>
      </w:r>
    </w:p>
    <w:p>
      <w:pPr>
        <w:pStyle w:val="46"/>
        <w:jc w:val="center"/>
        <w:rPr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 письменные продюсерские заключения по просмотренным фильмам и прочитанным сценариям;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 особенности продюсирования и продвижения отдельных видов аудиовизуальной продукции;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 оценка (ожидаемый прогноз) зрительского потенциала готового фильма и проекта (на подготовительной стадии).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 творческо-производственные особенности внедрения новых технологий в кинопроцесс, особенности продвижения;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 разработка бизнес-плана продвижения аудиовизуальной продукции.</w:t>
      </w:r>
    </w:p>
    <w:p>
      <w:pPr>
        <w:spacing w:line="360" w:lineRule="auto"/>
        <w:rPr>
          <w:rFonts w:eastAsia="Calibri"/>
          <w:b/>
          <w:sz w:val="28"/>
          <w:szCs w:val="28"/>
          <w:u w:val="single"/>
          <w:lang w:eastAsia="zh-CN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контрольной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ind w:left="900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</w:rPr>
        <w:t xml:space="preserve">» </w:t>
      </w:r>
    </w:p>
    <w:p>
      <w:pPr>
        <w:rPr>
          <w:b/>
          <w:bCs/>
          <w:color w:val="000000"/>
          <w:sz w:val="28"/>
          <w:szCs w:val="28"/>
          <w:highlight w:val="yellow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Групповые творческие задания (проекты): 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 Определение круга задач каждого подразделения съемочной группы (режиссерская, административная и т.д.) по определенному  преподавателем аудиовизуальному проекту.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2 . Определить зрительский потенциал литературного сценария (зрелищность, актуальнсть и др.) </w:t>
      </w:r>
    </w:p>
    <w:p>
      <w:pPr>
        <w:rPr>
          <w:bCs/>
          <w:color w:val="000000"/>
          <w:sz w:val="28"/>
          <w:szCs w:val="28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Индивидуальные творческие задания (проекты): 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 Особенности продюсирования отдельных видов аудиовизуальной продукции;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 . Письменные продюсерские заключения по просмотренным фильмам и прочитанным сценариям.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6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Продвижение аудиовизуальной продукции</w:t>
      </w:r>
      <w:r>
        <w:rPr>
          <w:b/>
          <w:sz w:val="28"/>
          <w:szCs w:val="28"/>
        </w:rPr>
        <w:t xml:space="preserve">» </w:t>
      </w:r>
    </w:p>
    <w:p>
      <w:pPr>
        <w:pStyle w:val="46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продвижения авторского и мейстрим кинофильма.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студии и авторскими аудиовизуальными произведениями – особенности продвижения.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Различия между кино и телевизионным контентом- особенности продвижения на телевидении  и кинофестивалях.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1.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продюсерского плана продвижения на короткометражный фильм.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продюсерского плана продвижения на полнометражный фильм. </w:t>
      </w:r>
    </w:p>
    <w:p>
      <w:pPr>
        <w:rPr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продюсерского плана продвижения на документальный фильм.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продюсерский проект (включая механизмы, рынки, планы продвижения) на питчинг  триллера.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продюсерский проект (включая механизмы, рынки, планы продвижения) на питчинг  комедийного  фильма.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продюсерский проект (включая механизмы, рынки, планы продвижения) на питчинг детектива.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22"/>
        <w:rPr>
          <w:rFonts w:ascii="Times New Roman" w:hAnsi="Times New Roman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Контрольные вопросы для самостоятельной работы (в т.ч. подготовка рефератов и докладов):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 Продвижение аудиовизуального ряда: основные задачи, экономические особенности и масштабы развития. 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Принципы функционирования аудиовизуального рынка.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Роль государственных органов управления в формировании творческих и экономических условий функционирования аудиовизуальной сферы.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Государственная регистрация и сертификация аудиовизуальной продукции.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Понятие аудиовизуальный продукт.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6.Перспективы развития проката. Производственная и организационная структуры предприятий.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 Деятельность продюсера в продвижении фильма.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 Условия дистрибьюторского процента. Тираж, количество копий, время показа.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9.Комбинирование производства. Аренда, лизинг и франчайзинг.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НАК (Национальная ассоциация кинотеатров). Крупнейшие операторы киносетей России.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 Характеристика современного телерынка.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12. Программно-целевой принцип проката и показа аудиовизуального продукта на ТВ, целевой поддержки и другие формы поддержки киноискусства. 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13. Структура телевизионного вещания. Технический канал, центральный канал, региональный канал, кабельное ТВ, спутниковое вещание и др.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14.Формы развития вторичного аудиовизуального рынка.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15. 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16. Классификатор средств рекламной информации.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17. Реклама в предподготовительном и подготовительном периодах.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18. Рекламная акция на федеральных каналах телевидения. Рекламная акция на радио. Реклама в имиджевой прессе.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19. Ценовая политика, роль Интернет – технологии в продвижении аудиовизуального продукта.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20. Классификация артистических брендов (универсальный, коммерческий, социально-информационный, жанрово-позитивный, жанрово-негативный).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21. Фестиваль как средство продвижения. Классификация по масштабу проведения. Жанровые особенности. Фестиваль как индустрия. Циклы управления фестивалем.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22. Как разрабатывается рекламная кампания по прокату кинопродукции?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23. Какова роль фестивалей в развитии кинематографа?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24. Каковы основные обязанности прокатчика перед продюсером?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pStyle w:val="44"/>
        <w:shd w:val="clear" w:color="auto" w:fill="FFFFFF"/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Примерные вопросы к рубежному контролю: 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Продвижение аудиовизуального ряда: основные задачи, экономические особенности и масштабы развития.  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Принципы функционирования аудиовизуального рынка.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Роль государственных органов управления в формировании творческих и экономических условий функционирования аудиовизуальной сферы.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Государственная регистрация и сертификация аудиовизуальной продукции.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Понятие аудиовизуальный продукт.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6.Перспективы развития проката. Производственная и организационная структуры предприятий.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Деятельность продюсера в продвижении фильма.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Условия дистрибьюторского процента. Тираж, количество копий, время показа.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9.Комбинирование производства. Аренда, лизинг и франчайзинг.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НАК (Национальная ассоциация кинотеатров). Крупнейшие операторы киносетей России.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Характеристика современного телерынка.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. Программно-целевой принцип проката и показа аудиовизуального продукта на ТВ, целевой поддержки и другие формы поддержки киноискусства. 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Структура телевизионного вещания. Технический канал, центральный канал, региональный канал, кабельное ТВ, спутниковое вещание и др.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14.Формы развития вторичного аудиовизуального рынка.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Классификатор средств рекламной информации.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 Реклама в предподготовительном и подготовительном периодах.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Рекламная акция на федеральных каналах телевидения. Рекламная акция на радио. Реклама в имиджевой прессе.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Ценовая политика, роль Интернет – технологии в продвижении аудиовизуального продукта.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 Классификация артистических брендов (универсальный, коммерческий, социально-информационный, жанрово-позитивный, жанрово-негативный).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Фестиваль как средство продвижения. Классификация по масштабу проведения. Жанровые особенности. Фестиваль как индустрия. Циклы управления фестивалем.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pStyle w:val="44"/>
        <w:shd w:val="clear" w:color="auto" w:fill="FFFFFF"/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Примерные вопросы к зачёту: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Понятие аудиовизуальный продукт.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Перспективы развития проката. Производственная и организационная структуры предприятий.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Деятельность продюсера в продвижении фильма.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Условия дистрибьюторского процента. Тираж, количество копий, время показа.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Комбинирование производства. Аренда, лизинг и франчайзинг.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НАК (Национальная ассоциация кинотеатров). Крупнейшие операторы киносетей России.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Характеристика современного телерынка.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Программно-целевой принцип проката и показа аудиовизуального продукта на ТВ, целевой поддержки и другие формы поддержки киноискусства. 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Структура телевизионного вещания. Технический канал, центральный канал, региональный канал, кабельное ТВ, спутниковое вещание и др.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>Формы развития вторичного аудиовизуального рынка.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>Сущность, основные формы и показатели рекламных предприятий аудиовизуальной сферы. Формы производственно-творческих связей и кооперирования аудиовизуальной сферы.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>Классификатор средств рекламной информации.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>Реклама в предподготовительном и подготовительном периодах.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Рекламная акция на федеральных каналах телевидения. Рекламная акция на радио. Реклама в имиджевой прессе.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>Ценовая политика, роль Интернет – технологии в продвижении аудиовизуального продукта.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Классификация артистических брендов (универсальный, коммерческий, социально-информационный, жанрово-позитивный, жанрово-негативный).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sz w:val="28"/>
          <w:szCs w:val="28"/>
        </w:rPr>
        <w:t>Фестиваль как средство продвижения. Классификация по масштабу проведения. Жанровые особенности. Фестиваль как индустрия. Циклы управления фестивалем.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>
        <w:rPr>
          <w:sz w:val="28"/>
          <w:szCs w:val="28"/>
        </w:rPr>
        <w:t>Как разрабатывается рекламная кампания по прокату кинопродукции?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>
        <w:rPr>
          <w:sz w:val="28"/>
          <w:szCs w:val="28"/>
        </w:rPr>
        <w:t>Какова роль фестивалей в развитии кинематографа?</w:t>
      </w:r>
    </w:p>
    <w:p>
      <w:pPr>
        <w:pStyle w:val="44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>
        <w:rPr>
          <w:sz w:val="28"/>
          <w:szCs w:val="28"/>
        </w:rPr>
        <w:t>Каковы основные обязанности прокатчика перед продюсером?</w:t>
      </w: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bookmarkStart w:id="3" w:name="_GoBack"/>
      <w:bookmarkEnd w:id="3"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 Акопян А.М..……………………………………..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"/>
      <w:lvlJc w:val="left"/>
      <w:pPr>
        <w:ind w:left="720" w:hanging="360"/>
      </w:pPr>
    </w:lvl>
    <w:lvl w:ilvl="1" w:tentative="0">
      <w:start w:val="0"/>
      <w:numFmt w:val="decimal"/>
      <w:lvlText w:val=""/>
      <w:lvlJc w:val="left"/>
      <w:rPr>
        <w:rFonts w:cs="Times New Roman"/>
      </w:rPr>
    </w:lvl>
    <w:lvl w:ilvl="2" w:tentative="0">
      <w:start w:val="0"/>
      <w:numFmt w:val="decimal"/>
      <w:lvlText w:val=""/>
      <w:lvlJc w:val="left"/>
      <w:rPr>
        <w:rFonts w:cs="Times New Roman"/>
      </w:rPr>
    </w:lvl>
    <w:lvl w:ilvl="3" w:tentative="0">
      <w:start w:val="0"/>
      <w:numFmt w:val="decimal"/>
      <w:lvlText w:val=""/>
      <w:lvlJc w:val="left"/>
      <w:rPr>
        <w:rFonts w:cs="Times New Roman"/>
      </w:rPr>
    </w:lvl>
    <w:lvl w:ilvl="4" w:tentative="0">
      <w:start w:val="0"/>
      <w:numFmt w:val="decimal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46CF3788"/>
    <w:multiLevelType w:val="multilevel"/>
    <w:tmpl w:val="46CF3788"/>
    <w:lvl w:ilvl="0" w:tentative="0">
      <w:start w:val="1"/>
      <w:numFmt w:val="decimal"/>
      <w:lvlText w:val="%1."/>
      <w:lvlJc w:val="left"/>
      <w:pPr>
        <w:ind w:left="1325" w:hanging="360"/>
      </w:pPr>
    </w:lvl>
    <w:lvl w:ilvl="1" w:tentative="0">
      <w:start w:val="1"/>
      <w:numFmt w:val="lowerLetter"/>
      <w:lvlText w:val="%2."/>
      <w:lvlJc w:val="left"/>
      <w:pPr>
        <w:ind w:left="2045" w:hanging="360"/>
      </w:pPr>
    </w:lvl>
    <w:lvl w:ilvl="2" w:tentative="0">
      <w:start w:val="1"/>
      <w:numFmt w:val="lowerRoman"/>
      <w:lvlText w:val="%3."/>
      <w:lvlJc w:val="right"/>
      <w:pPr>
        <w:ind w:left="2765" w:hanging="180"/>
      </w:pPr>
    </w:lvl>
    <w:lvl w:ilvl="3" w:tentative="0">
      <w:start w:val="1"/>
      <w:numFmt w:val="decimal"/>
      <w:lvlText w:val="%4."/>
      <w:lvlJc w:val="left"/>
      <w:pPr>
        <w:ind w:left="3485" w:hanging="360"/>
      </w:pPr>
    </w:lvl>
    <w:lvl w:ilvl="4" w:tentative="0">
      <w:start w:val="1"/>
      <w:numFmt w:val="lowerLetter"/>
      <w:lvlText w:val="%5."/>
      <w:lvlJc w:val="left"/>
      <w:pPr>
        <w:ind w:left="4205" w:hanging="360"/>
      </w:pPr>
    </w:lvl>
    <w:lvl w:ilvl="5" w:tentative="0">
      <w:start w:val="1"/>
      <w:numFmt w:val="lowerRoman"/>
      <w:lvlText w:val="%6."/>
      <w:lvlJc w:val="right"/>
      <w:pPr>
        <w:ind w:left="4925" w:hanging="180"/>
      </w:pPr>
    </w:lvl>
    <w:lvl w:ilvl="6" w:tentative="0">
      <w:start w:val="1"/>
      <w:numFmt w:val="decimal"/>
      <w:lvlText w:val="%7."/>
      <w:lvlJc w:val="left"/>
      <w:pPr>
        <w:ind w:left="5645" w:hanging="360"/>
      </w:pPr>
    </w:lvl>
    <w:lvl w:ilvl="7" w:tentative="0">
      <w:start w:val="1"/>
      <w:numFmt w:val="lowerLetter"/>
      <w:lvlText w:val="%8."/>
      <w:lvlJc w:val="left"/>
      <w:pPr>
        <w:ind w:left="6365" w:hanging="360"/>
      </w:pPr>
    </w:lvl>
    <w:lvl w:ilvl="8" w:tentative="0">
      <w:start w:val="1"/>
      <w:numFmt w:val="lowerRoman"/>
      <w:lvlText w:val="%9."/>
      <w:lvlJc w:val="right"/>
      <w:pPr>
        <w:ind w:left="7085" w:hanging="180"/>
      </w:pPr>
    </w:lvl>
  </w:abstractNum>
  <w:abstractNum w:abstractNumId="2">
    <w:nsid w:val="5069217D"/>
    <w:multiLevelType w:val="multilevel"/>
    <w:tmpl w:val="5069217D"/>
    <w:lvl w:ilvl="0" w:tentative="0">
      <w:start w:val="1"/>
      <w:numFmt w:val="decimal"/>
      <w:lvlText w:val="%1."/>
      <w:lvlJc w:val="left"/>
      <w:pPr>
        <w:ind w:left="1325" w:hanging="360"/>
      </w:pPr>
    </w:lvl>
    <w:lvl w:ilvl="1" w:tentative="0">
      <w:start w:val="1"/>
      <w:numFmt w:val="lowerLetter"/>
      <w:lvlText w:val="%2."/>
      <w:lvlJc w:val="left"/>
      <w:pPr>
        <w:ind w:left="2045" w:hanging="360"/>
      </w:pPr>
    </w:lvl>
    <w:lvl w:ilvl="2" w:tentative="0">
      <w:start w:val="1"/>
      <w:numFmt w:val="lowerRoman"/>
      <w:lvlText w:val="%3."/>
      <w:lvlJc w:val="right"/>
      <w:pPr>
        <w:ind w:left="2765" w:hanging="180"/>
      </w:pPr>
    </w:lvl>
    <w:lvl w:ilvl="3" w:tentative="0">
      <w:start w:val="1"/>
      <w:numFmt w:val="decimal"/>
      <w:lvlText w:val="%4."/>
      <w:lvlJc w:val="left"/>
      <w:pPr>
        <w:ind w:left="3485" w:hanging="360"/>
      </w:pPr>
    </w:lvl>
    <w:lvl w:ilvl="4" w:tentative="0">
      <w:start w:val="1"/>
      <w:numFmt w:val="lowerLetter"/>
      <w:lvlText w:val="%5."/>
      <w:lvlJc w:val="left"/>
      <w:pPr>
        <w:ind w:left="4205" w:hanging="360"/>
      </w:pPr>
    </w:lvl>
    <w:lvl w:ilvl="5" w:tentative="0">
      <w:start w:val="1"/>
      <w:numFmt w:val="lowerRoman"/>
      <w:lvlText w:val="%6."/>
      <w:lvlJc w:val="right"/>
      <w:pPr>
        <w:ind w:left="4925" w:hanging="180"/>
      </w:pPr>
    </w:lvl>
    <w:lvl w:ilvl="6" w:tentative="0">
      <w:start w:val="1"/>
      <w:numFmt w:val="decimal"/>
      <w:lvlText w:val="%7."/>
      <w:lvlJc w:val="left"/>
      <w:pPr>
        <w:ind w:left="5645" w:hanging="360"/>
      </w:pPr>
    </w:lvl>
    <w:lvl w:ilvl="7" w:tentative="0">
      <w:start w:val="1"/>
      <w:numFmt w:val="lowerLetter"/>
      <w:lvlText w:val="%8."/>
      <w:lvlJc w:val="left"/>
      <w:pPr>
        <w:ind w:left="6365" w:hanging="360"/>
      </w:pPr>
    </w:lvl>
    <w:lvl w:ilvl="8" w:tentative="0">
      <w:start w:val="1"/>
      <w:numFmt w:val="lowerRoman"/>
      <w:lvlText w:val="%9."/>
      <w:lvlJc w:val="right"/>
      <w:pPr>
        <w:ind w:left="7085" w:hanging="180"/>
      </w:pPr>
    </w:lvl>
  </w:abstractNum>
  <w:abstractNum w:abstractNumId="3">
    <w:nsid w:val="59CC27C1"/>
    <w:multiLevelType w:val="multilevel"/>
    <w:tmpl w:val="59CC27C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E6352"/>
    <w:multiLevelType w:val="multilevel"/>
    <w:tmpl w:val="7FCE6352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024B9"/>
    <w:rsid w:val="00003903"/>
    <w:rsid w:val="00010EB5"/>
    <w:rsid w:val="0002026A"/>
    <w:rsid w:val="00056235"/>
    <w:rsid w:val="00071625"/>
    <w:rsid w:val="000840CF"/>
    <w:rsid w:val="000940E6"/>
    <w:rsid w:val="00096BAD"/>
    <w:rsid w:val="00097843"/>
    <w:rsid w:val="000C4CCB"/>
    <w:rsid w:val="000F62CD"/>
    <w:rsid w:val="00105903"/>
    <w:rsid w:val="00120380"/>
    <w:rsid w:val="00160204"/>
    <w:rsid w:val="001615A1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A3CFC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62FD6"/>
    <w:rsid w:val="00581AE3"/>
    <w:rsid w:val="005A27F2"/>
    <w:rsid w:val="005B2A86"/>
    <w:rsid w:val="005C20BF"/>
    <w:rsid w:val="00635732"/>
    <w:rsid w:val="00645723"/>
    <w:rsid w:val="0065142A"/>
    <w:rsid w:val="00683B49"/>
    <w:rsid w:val="0069338D"/>
    <w:rsid w:val="006A4665"/>
    <w:rsid w:val="006B13C2"/>
    <w:rsid w:val="006C5583"/>
    <w:rsid w:val="006E431C"/>
    <w:rsid w:val="00715964"/>
    <w:rsid w:val="00715C9C"/>
    <w:rsid w:val="00736A1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9613E2"/>
    <w:rsid w:val="009638D7"/>
    <w:rsid w:val="00966ED5"/>
    <w:rsid w:val="009A5703"/>
    <w:rsid w:val="009D0332"/>
    <w:rsid w:val="009D127A"/>
    <w:rsid w:val="009F3911"/>
    <w:rsid w:val="00A30472"/>
    <w:rsid w:val="00A373B9"/>
    <w:rsid w:val="00A751E9"/>
    <w:rsid w:val="00AD0C2B"/>
    <w:rsid w:val="00B02EAC"/>
    <w:rsid w:val="00B04732"/>
    <w:rsid w:val="00B1214C"/>
    <w:rsid w:val="00B12B95"/>
    <w:rsid w:val="00B314B5"/>
    <w:rsid w:val="00B365E2"/>
    <w:rsid w:val="00B64833"/>
    <w:rsid w:val="00B670B8"/>
    <w:rsid w:val="00B80BDD"/>
    <w:rsid w:val="00B97F50"/>
    <w:rsid w:val="00BC7966"/>
    <w:rsid w:val="00BE0318"/>
    <w:rsid w:val="00BE0BFD"/>
    <w:rsid w:val="00BE50F6"/>
    <w:rsid w:val="00BE7CF0"/>
    <w:rsid w:val="00BF57C3"/>
    <w:rsid w:val="00C05343"/>
    <w:rsid w:val="00C07A63"/>
    <w:rsid w:val="00C27878"/>
    <w:rsid w:val="00C55FC6"/>
    <w:rsid w:val="00CA1A10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E07947"/>
    <w:rsid w:val="00E20810"/>
    <w:rsid w:val="00E46050"/>
    <w:rsid w:val="00E62E98"/>
    <w:rsid w:val="00E76708"/>
    <w:rsid w:val="00EC29D7"/>
    <w:rsid w:val="00EC53B9"/>
    <w:rsid w:val="00ED42B6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E1010"/>
    <w:rsid w:val="7DA7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9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4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7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8"/>
    <w:semiHidden/>
    <w:unhideWhenUsed/>
    <w:qFormat/>
    <w:uiPriority w:val="99"/>
    <w:rPr>
      <w:b/>
      <w:bCs/>
    </w:rPr>
  </w:style>
  <w:style w:type="paragraph" w:styleId="13">
    <w:name w:val="head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5"/>
    <w:qFormat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Body Text Indent"/>
    <w:basedOn w:val="1"/>
    <w:link w:val="48"/>
    <w:semiHidden/>
    <w:unhideWhenUsed/>
    <w:uiPriority w:val="99"/>
    <w:pPr>
      <w:spacing w:after="120"/>
      <w:ind w:left="283"/>
    </w:pPr>
  </w:style>
  <w:style w:type="paragraph" w:styleId="18">
    <w:name w:val="Title"/>
    <w:basedOn w:val="1"/>
    <w:next w:val="1"/>
    <w:link w:val="39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9">
    <w:name w:val="footer"/>
    <w:basedOn w:val="1"/>
    <w:link w:val="37"/>
    <w:unhideWhenUsed/>
    <w:uiPriority w:val="99"/>
    <w:pPr>
      <w:tabs>
        <w:tab w:val="center" w:pos="4677"/>
        <w:tab w:val="right" w:pos="9355"/>
      </w:tabs>
    </w:pPr>
  </w:style>
  <w:style w:type="paragraph" w:styleId="20">
    <w:name w:val="Normal (Web)"/>
    <w:basedOn w:val="1"/>
    <w:link w:val="31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1">
    <w:name w:val="Body Text Indent 2"/>
    <w:basedOn w:val="1"/>
    <w:link w:val="26"/>
    <w:uiPriority w:val="0"/>
    <w:pPr>
      <w:ind w:left="993"/>
    </w:pPr>
  </w:style>
  <w:style w:type="paragraph" w:styleId="22">
    <w:name w:val="Subtitle"/>
    <w:basedOn w:val="1"/>
    <w:next w:val="1"/>
    <w:link w:val="41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Block Text"/>
    <w:basedOn w:val="1"/>
    <w:qFormat/>
    <w:uiPriority w:val="0"/>
    <w:pPr>
      <w:ind w:left="142" w:right="4819"/>
      <w:jc w:val="center"/>
    </w:pPr>
  </w:style>
  <w:style w:type="table" w:styleId="24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5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5"/>
    <w:link w:val="21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7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8">
    <w:name w:val="Тема примечания Знак"/>
    <w:basedOn w:val="27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9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30">
    <w:name w:val="Заголовок 1 Знак"/>
    <w:basedOn w:val="5"/>
    <w:link w:val="2"/>
    <w:qFormat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1">
    <w:name w:val="Обычный (веб) Знак"/>
    <w:link w:val="20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2">
    <w:name w:val="Для таблиц"/>
    <w:basedOn w:val="1"/>
    <w:uiPriority w:val="99"/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5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6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Нижний колонтитул Знак"/>
    <w:basedOn w:val="5"/>
    <w:link w:val="1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8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9">
    <w:name w:val="Заголовок Знак"/>
    <w:basedOn w:val="5"/>
    <w:link w:val="18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40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1">
    <w:name w:val="Подзаголовок Знак"/>
    <w:basedOn w:val="5"/>
    <w:link w:val="22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2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3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4">
    <w:name w:val="Standard"/>
    <w:qFormat/>
    <w:uiPriority w:val="99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5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6">
    <w:name w:val="Default"/>
    <w:qFormat/>
    <w:uiPriority w:val="99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7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8">
    <w:name w:val="Основной текст с отступом Знак"/>
    <w:basedOn w:val="5"/>
    <w:link w:val="17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9">
    <w:name w:val="WW8Num7z7"/>
    <w:qFormat/>
    <w:uiPriority w:val="0"/>
  </w:style>
  <w:style w:type="character" w:customStyle="1" w:styleId="50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5A3E25-9ED1-4434-9C06-5A95AAAD07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3830</Words>
  <Characters>21836</Characters>
  <Lines>181</Lines>
  <Paragraphs>51</Paragraphs>
  <TotalTime>0</TotalTime>
  <ScaleCrop>false</ScaleCrop>
  <LinksUpToDate>false</LinksUpToDate>
  <CharactersWithSpaces>25615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2023-03-17T11:50:29Z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A6F5FB2A9BBA44B4AA0F4E0C6744A199</vt:lpwstr>
  </property>
</Properties>
</file>